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8BEA9" w14:textId="2861FFCD" w:rsidR="00FE2187" w:rsidRDefault="00FE2187" w:rsidP="00A21FA0">
      <w:pPr>
        <w:widowControl w:val="0"/>
        <w:autoSpaceDE w:val="0"/>
        <w:autoSpaceDN w:val="0"/>
        <w:adjustRightInd w:val="0"/>
        <w:ind w:left="-1800"/>
        <w:jc w:val="center"/>
        <w:rPr>
          <w:rFonts w:ascii="Century Gothic" w:hAnsi="Century Gothic" w:cs="Calibri"/>
          <w:sz w:val="22"/>
        </w:rPr>
      </w:pPr>
    </w:p>
    <w:p w14:paraId="61ECD1D8" w14:textId="0D97A576" w:rsidR="00045EF2" w:rsidRPr="00501C6D" w:rsidRDefault="00045EF2" w:rsidP="00045EF2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501C6D">
        <w:rPr>
          <w:rFonts w:asciiTheme="majorHAnsi" w:hAnsiTheme="majorHAnsi"/>
          <w:b/>
          <w:bCs/>
          <w:sz w:val="36"/>
          <w:szCs w:val="36"/>
        </w:rPr>
        <w:t>SV2 Lead Partner Job Description</w:t>
      </w:r>
    </w:p>
    <w:p w14:paraId="1440DF6F" w14:textId="77777777" w:rsidR="00045EF2" w:rsidRPr="00045EF2" w:rsidRDefault="00045EF2" w:rsidP="00045EF2">
      <w:pPr>
        <w:rPr>
          <w:rFonts w:asciiTheme="majorHAnsi" w:hAnsiTheme="majorHAnsi"/>
          <w:bCs/>
        </w:rPr>
      </w:pPr>
    </w:p>
    <w:p w14:paraId="17C86CA9" w14:textId="6179CDDC" w:rsidR="00045EF2" w:rsidRPr="00045EF2" w:rsidRDefault="00045EF2" w:rsidP="00045EF2">
      <w:pPr>
        <w:rPr>
          <w:rFonts w:asciiTheme="majorHAnsi" w:hAnsiTheme="majorHAnsi"/>
        </w:rPr>
      </w:pPr>
      <w:r w:rsidRPr="00605AF2">
        <w:rPr>
          <w:rFonts w:asciiTheme="majorHAnsi" w:hAnsiTheme="majorHAnsi"/>
          <w:b/>
        </w:rPr>
        <w:t xml:space="preserve">Lead Partners serve as Grantee champions and as liaisons between Grantees and the </w:t>
      </w:r>
      <w:r w:rsidR="00CB017F">
        <w:rPr>
          <w:rFonts w:asciiTheme="majorHAnsi" w:hAnsiTheme="majorHAnsi"/>
          <w:b/>
        </w:rPr>
        <w:t xml:space="preserve">broader </w:t>
      </w:r>
      <w:r w:rsidR="00CA3C82" w:rsidRPr="00605AF2">
        <w:rPr>
          <w:rFonts w:asciiTheme="majorHAnsi" w:hAnsiTheme="majorHAnsi"/>
          <w:b/>
        </w:rPr>
        <w:t>SV2 Partners, staff and Board</w:t>
      </w:r>
      <w:r w:rsidR="00CB017F">
        <w:rPr>
          <w:rFonts w:asciiTheme="majorHAnsi" w:hAnsiTheme="majorHAnsi"/>
          <w:b/>
        </w:rPr>
        <w:t xml:space="preserve"> of Directors</w:t>
      </w:r>
      <w:r w:rsidR="00CA3C82" w:rsidRPr="00605AF2">
        <w:rPr>
          <w:rFonts w:asciiTheme="majorHAnsi" w:hAnsiTheme="majorHAnsi"/>
          <w:b/>
        </w:rPr>
        <w:t>.</w:t>
      </w:r>
      <w:r w:rsidR="00CA3C82">
        <w:rPr>
          <w:rFonts w:asciiTheme="majorHAnsi" w:hAnsiTheme="majorHAnsi"/>
        </w:rPr>
        <w:t xml:space="preserve"> </w:t>
      </w:r>
      <w:r w:rsidRPr="00045EF2">
        <w:rPr>
          <w:rFonts w:asciiTheme="majorHAnsi" w:hAnsiTheme="majorHAnsi"/>
        </w:rPr>
        <w:t>They strive to build an open, trusting relationship of mutual respect with SV2 Grantee</w:t>
      </w:r>
      <w:r w:rsidR="00605AF2">
        <w:rPr>
          <w:rFonts w:asciiTheme="majorHAnsi" w:hAnsiTheme="majorHAnsi"/>
        </w:rPr>
        <w:t>s and help connect Grantees to Beyond-the-D</w:t>
      </w:r>
      <w:r w:rsidRPr="00045EF2">
        <w:rPr>
          <w:rFonts w:asciiTheme="majorHAnsi" w:hAnsiTheme="majorHAnsi"/>
        </w:rPr>
        <w:t>ollars resources at SV2 in service of strengthening Grantees’ effectiveness and impact.</w:t>
      </w:r>
    </w:p>
    <w:p w14:paraId="7EFD3FDF" w14:textId="77777777" w:rsidR="00045EF2" w:rsidRPr="00045EF2" w:rsidRDefault="00045EF2" w:rsidP="00045EF2">
      <w:pPr>
        <w:rPr>
          <w:rFonts w:asciiTheme="majorHAnsi" w:hAnsiTheme="majorHAnsi"/>
        </w:rPr>
      </w:pPr>
    </w:p>
    <w:p w14:paraId="54883BDB" w14:textId="77777777" w:rsidR="00045EF2" w:rsidRDefault="00045EF2" w:rsidP="00045EF2">
      <w:pPr>
        <w:rPr>
          <w:rFonts w:asciiTheme="majorHAnsi" w:hAnsiTheme="majorHAnsi"/>
          <w:b/>
        </w:rPr>
      </w:pPr>
      <w:r w:rsidRPr="00045EF2">
        <w:rPr>
          <w:rFonts w:asciiTheme="majorHAnsi" w:hAnsiTheme="majorHAnsi"/>
          <w:b/>
        </w:rPr>
        <w:t>Responsibilities</w:t>
      </w:r>
    </w:p>
    <w:p w14:paraId="614F5AE2" w14:textId="77777777" w:rsidR="009A76F5" w:rsidRPr="00045EF2" w:rsidRDefault="009A76F5" w:rsidP="00045EF2">
      <w:pPr>
        <w:rPr>
          <w:rFonts w:asciiTheme="majorHAnsi" w:hAnsiTheme="majorHAnsi"/>
          <w:b/>
        </w:rPr>
      </w:pPr>
    </w:p>
    <w:p w14:paraId="3B43F996" w14:textId="569F699A" w:rsidR="00045EF2" w:rsidRPr="00045EF2" w:rsidRDefault="00045EF2" w:rsidP="00045EF2">
      <w:pPr>
        <w:rPr>
          <w:rFonts w:asciiTheme="majorHAnsi" w:hAnsiTheme="majorHAnsi"/>
          <w:bCs/>
        </w:rPr>
      </w:pPr>
      <w:r w:rsidRPr="00045EF2">
        <w:rPr>
          <w:rFonts w:asciiTheme="majorHAnsi" w:hAnsiTheme="majorHAnsi"/>
          <w:bCs/>
        </w:rPr>
        <w:t>Initially, Lead Partners work with the SV2 staff to spearhead the launch of each Gr</w:t>
      </w:r>
      <w:r w:rsidR="00CA3C82">
        <w:rPr>
          <w:rFonts w:asciiTheme="majorHAnsi" w:hAnsiTheme="majorHAnsi"/>
          <w:bCs/>
        </w:rPr>
        <w:t xml:space="preserve">antee’s relationship with SV2. </w:t>
      </w:r>
      <w:r w:rsidRPr="00045EF2">
        <w:rPr>
          <w:rFonts w:asciiTheme="majorHAnsi" w:hAnsiTheme="majorHAnsi"/>
          <w:bCs/>
        </w:rPr>
        <w:t>At the beginni</w:t>
      </w:r>
      <w:r w:rsidR="003A2C59">
        <w:rPr>
          <w:rFonts w:asciiTheme="majorHAnsi" w:hAnsiTheme="majorHAnsi"/>
          <w:bCs/>
        </w:rPr>
        <w:t>ng of the</w:t>
      </w:r>
      <w:r w:rsidRPr="00045EF2">
        <w:rPr>
          <w:rFonts w:asciiTheme="majorHAnsi" w:hAnsiTheme="majorHAnsi"/>
          <w:bCs/>
        </w:rPr>
        <w:t xml:space="preserve"> grant period, the Grantee, Lead Partners and SV2 staff work together to define </w:t>
      </w:r>
      <w:r w:rsidR="00CB017F">
        <w:rPr>
          <w:rFonts w:asciiTheme="majorHAnsi" w:hAnsiTheme="majorHAnsi"/>
          <w:bCs/>
        </w:rPr>
        <w:t xml:space="preserve">meaningful </w:t>
      </w:r>
      <w:r w:rsidRPr="00045EF2">
        <w:rPr>
          <w:rFonts w:asciiTheme="majorHAnsi" w:hAnsiTheme="majorHAnsi"/>
          <w:bCs/>
        </w:rPr>
        <w:t>target capacity-building outcomes for th</w:t>
      </w:r>
      <w:r w:rsidR="003A2C59">
        <w:rPr>
          <w:rFonts w:asciiTheme="majorHAnsi" w:hAnsiTheme="majorHAnsi"/>
          <w:bCs/>
        </w:rPr>
        <w:t>e Grantee</w:t>
      </w:r>
      <w:r w:rsidRPr="00045EF2">
        <w:rPr>
          <w:rFonts w:asciiTheme="majorHAnsi" w:hAnsiTheme="majorHAnsi"/>
          <w:bCs/>
        </w:rPr>
        <w:t xml:space="preserve"> and identify </w:t>
      </w:r>
      <w:r w:rsidR="00DD5CED">
        <w:rPr>
          <w:rFonts w:asciiTheme="majorHAnsi" w:hAnsiTheme="majorHAnsi"/>
          <w:bCs/>
        </w:rPr>
        <w:t xml:space="preserve">and scope </w:t>
      </w:r>
      <w:r w:rsidRPr="00045EF2">
        <w:rPr>
          <w:rFonts w:asciiTheme="majorHAnsi" w:hAnsiTheme="majorHAnsi"/>
          <w:bCs/>
        </w:rPr>
        <w:t xml:space="preserve">initial </w:t>
      </w:r>
      <w:r w:rsidR="00B07785">
        <w:rPr>
          <w:rFonts w:asciiTheme="majorHAnsi" w:hAnsiTheme="majorHAnsi"/>
          <w:bCs/>
        </w:rPr>
        <w:t>“</w:t>
      </w:r>
      <w:r w:rsidR="00C474A5">
        <w:rPr>
          <w:rFonts w:asciiTheme="majorHAnsi" w:hAnsiTheme="majorHAnsi"/>
          <w:bCs/>
        </w:rPr>
        <w:t>B</w:t>
      </w:r>
      <w:r w:rsidR="00B07785">
        <w:rPr>
          <w:rFonts w:asciiTheme="majorHAnsi" w:hAnsiTheme="majorHAnsi"/>
          <w:bCs/>
        </w:rPr>
        <w:t>eyond-</w:t>
      </w:r>
      <w:r w:rsidR="00C474A5">
        <w:rPr>
          <w:rFonts w:asciiTheme="majorHAnsi" w:hAnsiTheme="majorHAnsi"/>
          <w:bCs/>
        </w:rPr>
        <w:t>the-D</w:t>
      </w:r>
      <w:r w:rsidR="00B07785">
        <w:rPr>
          <w:rFonts w:asciiTheme="majorHAnsi" w:hAnsiTheme="majorHAnsi"/>
          <w:bCs/>
        </w:rPr>
        <w:t xml:space="preserve">ollars” </w:t>
      </w:r>
      <w:r w:rsidRPr="00045EF2">
        <w:rPr>
          <w:rFonts w:asciiTheme="majorHAnsi" w:hAnsiTheme="majorHAnsi"/>
          <w:bCs/>
        </w:rPr>
        <w:t>engagement opportunities for SV2 Partners in sup</w:t>
      </w:r>
      <w:r w:rsidR="00CA3C82">
        <w:rPr>
          <w:rFonts w:asciiTheme="majorHAnsi" w:hAnsiTheme="majorHAnsi"/>
          <w:bCs/>
        </w:rPr>
        <w:t xml:space="preserve">port of those target outcomes. </w:t>
      </w:r>
      <w:r w:rsidRPr="00045EF2">
        <w:rPr>
          <w:rFonts w:asciiTheme="majorHAnsi" w:hAnsiTheme="majorHAnsi"/>
          <w:bCs/>
        </w:rPr>
        <w:t xml:space="preserve">Lead Partners then recruit Partners for </w:t>
      </w:r>
      <w:r w:rsidR="00C474A5">
        <w:rPr>
          <w:rFonts w:asciiTheme="majorHAnsi" w:hAnsiTheme="majorHAnsi"/>
          <w:bCs/>
        </w:rPr>
        <w:t>these Beyond-the-D</w:t>
      </w:r>
      <w:r w:rsidR="00B07785">
        <w:rPr>
          <w:rFonts w:asciiTheme="majorHAnsi" w:hAnsiTheme="majorHAnsi"/>
          <w:bCs/>
        </w:rPr>
        <w:t>ollars projects</w:t>
      </w:r>
      <w:r w:rsidRPr="00045EF2">
        <w:rPr>
          <w:rFonts w:asciiTheme="majorHAnsi" w:hAnsiTheme="majorHAnsi"/>
          <w:bCs/>
        </w:rPr>
        <w:t xml:space="preserve"> and hold Partner volunteers accountable to ensure that projects are carried</w:t>
      </w:r>
      <w:r w:rsidR="00303A7E">
        <w:rPr>
          <w:rFonts w:asciiTheme="majorHAnsi" w:hAnsiTheme="majorHAnsi"/>
          <w:bCs/>
        </w:rPr>
        <w:t xml:space="preserve"> out</w:t>
      </w:r>
      <w:r w:rsidRPr="00045EF2">
        <w:rPr>
          <w:rFonts w:asciiTheme="majorHAnsi" w:hAnsiTheme="majorHAnsi"/>
          <w:bCs/>
        </w:rPr>
        <w:t>.</w:t>
      </w:r>
    </w:p>
    <w:p w14:paraId="39CACCC7" w14:textId="77777777" w:rsidR="00045EF2" w:rsidRPr="00045EF2" w:rsidRDefault="00045EF2" w:rsidP="00045EF2">
      <w:pPr>
        <w:rPr>
          <w:rFonts w:asciiTheme="majorHAnsi" w:hAnsiTheme="majorHAnsi"/>
          <w:bCs/>
        </w:rPr>
      </w:pPr>
    </w:p>
    <w:p w14:paraId="341ECD9A" w14:textId="77777777" w:rsidR="00045EF2" w:rsidRPr="00045EF2" w:rsidRDefault="00045EF2" w:rsidP="00045EF2">
      <w:pPr>
        <w:rPr>
          <w:rFonts w:asciiTheme="majorHAnsi" w:hAnsiTheme="majorHAnsi"/>
          <w:bCs/>
        </w:rPr>
      </w:pPr>
      <w:r w:rsidRPr="00045EF2">
        <w:rPr>
          <w:rFonts w:asciiTheme="majorHAnsi" w:hAnsiTheme="majorHAnsi"/>
          <w:bCs/>
        </w:rPr>
        <w:t>As the three-year grant period progresses, Lead Partners will carry out the following ongoing responsibilities:</w:t>
      </w:r>
    </w:p>
    <w:p w14:paraId="1CC26896" w14:textId="77777777" w:rsidR="00045EF2" w:rsidRPr="00045EF2" w:rsidRDefault="00045EF2" w:rsidP="00045EF2">
      <w:pPr>
        <w:rPr>
          <w:rFonts w:asciiTheme="majorHAnsi" w:hAnsiTheme="majorHAnsi"/>
          <w:bCs/>
        </w:rPr>
      </w:pPr>
    </w:p>
    <w:p w14:paraId="14FF8B11" w14:textId="159D2D11" w:rsidR="003A2C59" w:rsidRDefault="00045EF2" w:rsidP="00045EF2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045EF2">
        <w:rPr>
          <w:rFonts w:asciiTheme="majorHAnsi" w:hAnsiTheme="majorHAnsi"/>
          <w:bCs/>
        </w:rPr>
        <w:t>Develop an open, trusting, mutually respectful relationship with the Grantee in order to provide the best support possible</w:t>
      </w:r>
      <w:r w:rsidR="000861A5">
        <w:rPr>
          <w:rFonts w:asciiTheme="majorHAnsi" w:hAnsiTheme="majorHAnsi"/>
          <w:bCs/>
        </w:rPr>
        <w:t>:</w:t>
      </w:r>
    </w:p>
    <w:p w14:paraId="0E63DD4F" w14:textId="77777777" w:rsidR="003A2C59" w:rsidRDefault="00273CE4" w:rsidP="003A2C59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</w:t>
      </w:r>
      <w:r w:rsidR="003A2C59">
        <w:rPr>
          <w:rFonts w:asciiTheme="majorHAnsi" w:hAnsiTheme="majorHAnsi"/>
          <w:bCs/>
        </w:rPr>
        <w:t>ypically two</w:t>
      </w:r>
      <w:r w:rsidRPr="00045EF2">
        <w:rPr>
          <w:rFonts w:asciiTheme="majorHAnsi" w:hAnsiTheme="majorHAnsi"/>
          <w:bCs/>
        </w:rPr>
        <w:t xml:space="preserve"> face-to-face meetings per year </w:t>
      </w:r>
    </w:p>
    <w:p w14:paraId="5A4339C9" w14:textId="6721A8C2" w:rsidR="003A2C59" w:rsidRDefault="003A2C59" w:rsidP="003A2C59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</w:t>
      </w:r>
      <w:r w:rsidR="00273CE4" w:rsidRPr="00045EF2">
        <w:rPr>
          <w:rFonts w:asciiTheme="majorHAnsi" w:hAnsiTheme="majorHAnsi"/>
          <w:bCs/>
        </w:rPr>
        <w:t xml:space="preserve">egular </w:t>
      </w:r>
      <w:r>
        <w:rPr>
          <w:rFonts w:asciiTheme="majorHAnsi" w:hAnsiTheme="majorHAnsi"/>
          <w:bCs/>
        </w:rPr>
        <w:t xml:space="preserve">phone </w:t>
      </w:r>
      <w:r w:rsidR="00273CE4" w:rsidRPr="00045EF2">
        <w:rPr>
          <w:rFonts w:asciiTheme="majorHAnsi" w:hAnsiTheme="majorHAnsi"/>
          <w:bCs/>
        </w:rPr>
        <w:t>check-ins on a schedule that is determined together with the Grantee (</w:t>
      </w:r>
      <w:r w:rsidR="00273CE4">
        <w:rPr>
          <w:rFonts w:asciiTheme="majorHAnsi" w:hAnsiTheme="majorHAnsi"/>
          <w:bCs/>
        </w:rPr>
        <w:t xml:space="preserve">typically every six to </w:t>
      </w:r>
      <w:r w:rsidR="00D04EFC">
        <w:rPr>
          <w:rFonts w:asciiTheme="majorHAnsi" w:hAnsiTheme="majorHAnsi"/>
          <w:bCs/>
        </w:rPr>
        <w:t>eight weeks)</w:t>
      </w:r>
    </w:p>
    <w:p w14:paraId="0CDD1D4E" w14:textId="28EBE5CC" w:rsidR="003A2C59" w:rsidRDefault="00D83BAD" w:rsidP="003A2C59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</w:t>
      </w:r>
      <w:r w:rsidR="00026B2B">
        <w:rPr>
          <w:rFonts w:asciiTheme="majorHAnsi" w:hAnsiTheme="majorHAnsi"/>
          <w:bCs/>
        </w:rPr>
        <w:t xml:space="preserve">reate an agenda </w:t>
      </w:r>
      <w:r>
        <w:rPr>
          <w:rFonts w:asciiTheme="majorHAnsi" w:hAnsiTheme="majorHAnsi"/>
          <w:bCs/>
        </w:rPr>
        <w:t xml:space="preserve">with the Grantee </w:t>
      </w:r>
      <w:r w:rsidR="00026B2B">
        <w:rPr>
          <w:rFonts w:asciiTheme="majorHAnsi" w:hAnsiTheme="majorHAnsi"/>
          <w:bCs/>
        </w:rPr>
        <w:t>before each meeting</w:t>
      </w:r>
    </w:p>
    <w:p w14:paraId="4A5A4274" w14:textId="77777777" w:rsidR="000861A5" w:rsidRPr="000861A5" w:rsidRDefault="00D04EFC" w:rsidP="000861A5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  <w:bCs/>
        </w:rPr>
        <w:t>Take</w:t>
      </w:r>
      <w:r w:rsidR="00026B2B">
        <w:rPr>
          <w:rFonts w:asciiTheme="majorHAnsi" w:hAnsiTheme="majorHAnsi"/>
          <w:bCs/>
        </w:rPr>
        <w:t xml:space="preserve"> and distribute</w:t>
      </w:r>
      <w:r>
        <w:rPr>
          <w:rFonts w:asciiTheme="majorHAnsi" w:hAnsiTheme="majorHAnsi"/>
          <w:bCs/>
        </w:rPr>
        <w:t xml:space="preserve"> meeting notes to keep all parties aligned</w:t>
      </w:r>
      <w:r w:rsidR="000861A5" w:rsidRPr="000861A5">
        <w:rPr>
          <w:rFonts w:asciiTheme="majorHAnsi" w:hAnsiTheme="majorHAnsi"/>
          <w:bCs/>
        </w:rPr>
        <w:t xml:space="preserve"> </w:t>
      </w:r>
    </w:p>
    <w:p w14:paraId="6932FB96" w14:textId="37C38DE3" w:rsidR="00045EF2" w:rsidRDefault="000861A5" w:rsidP="000861A5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045EF2">
        <w:rPr>
          <w:rFonts w:asciiTheme="majorHAnsi" w:hAnsiTheme="majorHAnsi"/>
          <w:bCs/>
        </w:rPr>
        <w:t xml:space="preserve">Act as a supportive accountability partner on progress toward target outcomes; </w:t>
      </w:r>
      <w:r w:rsidRPr="00045EF2">
        <w:rPr>
          <w:rFonts w:asciiTheme="majorHAnsi" w:hAnsiTheme="majorHAnsi"/>
        </w:rPr>
        <w:t>as obstacles arise, work with the Grantee and SV2 staff to brainstorm, find connections to additional resources, or simply provide perspective and encouragement</w:t>
      </w:r>
    </w:p>
    <w:p w14:paraId="5B049884" w14:textId="77777777" w:rsidR="00303A7E" w:rsidRPr="000861A5" w:rsidRDefault="00303A7E" w:rsidP="00303A7E">
      <w:pPr>
        <w:pStyle w:val="ListParagraph"/>
        <w:ind w:left="1440"/>
        <w:rPr>
          <w:rFonts w:asciiTheme="majorHAnsi" w:hAnsiTheme="majorHAnsi"/>
        </w:rPr>
      </w:pPr>
    </w:p>
    <w:p w14:paraId="0AD2CC99" w14:textId="77777777" w:rsidR="00303A7E" w:rsidRPr="00762955" w:rsidRDefault="00303A7E" w:rsidP="00303A7E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045EF2">
        <w:rPr>
          <w:rFonts w:asciiTheme="majorHAnsi" w:hAnsiTheme="majorHAnsi"/>
        </w:rPr>
        <w:t>Introduce a range of Partners to the work of the organization</w:t>
      </w:r>
      <w:r>
        <w:rPr>
          <w:rFonts w:asciiTheme="majorHAnsi" w:hAnsiTheme="majorHAnsi"/>
        </w:rPr>
        <w:t>, through activities such as:</w:t>
      </w:r>
    </w:p>
    <w:p w14:paraId="53FFBC28" w14:textId="77777777" w:rsidR="00303A7E" w:rsidRPr="00762955" w:rsidRDefault="00303A7E" w:rsidP="00303A7E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</w:rPr>
        <w:t>Site visits</w:t>
      </w:r>
    </w:p>
    <w:p w14:paraId="14E23BAD" w14:textId="77777777" w:rsidR="00303A7E" w:rsidRPr="00762955" w:rsidRDefault="00303A7E" w:rsidP="00303A7E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</w:rPr>
        <w:t>P</w:t>
      </w:r>
      <w:r w:rsidRPr="00045EF2">
        <w:rPr>
          <w:rFonts w:asciiTheme="majorHAnsi" w:hAnsiTheme="majorHAnsi"/>
        </w:rPr>
        <w:t>articipation in bra</w:t>
      </w:r>
      <w:r>
        <w:rPr>
          <w:rFonts w:asciiTheme="majorHAnsi" w:hAnsiTheme="majorHAnsi"/>
        </w:rPr>
        <w:t>instorming sessions</w:t>
      </w:r>
    </w:p>
    <w:p w14:paraId="461819F7" w14:textId="77777777" w:rsidR="00303A7E" w:rsidRPr="00762955" w:rsidRDefault="00303A7E" w:rsidP="00303A7E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proofErr w:type="spellStart"/>
      <w:r>
        <w:rPr>
          <w:rFonts w:asciiTheme="majorHAnsi" w:hAnsiTheme="majorHAnsi"/>
        </w:rPr>
        <w:t>eNews</w:t>
      </w:r>
      <w:proofErr w:type="spellEnd"/>
      <w:r>
        <w:rPr>
          <w:rFonts w:asciiTheme="majorHAnsi" w:hAnsiTheme="majorHAnsi"/>
        </w:rPr>
        <w:t xml:space="preserve"> articles</w:t>
      </w:r>
    </w:p>
    <w:p w14:paraId="25A8E276" w14:textId="77777777" w:rsidR="00303A7E" w:rsidRPr="00045EF2" w:rsidRDefault="00303A7E" w:rsidP="00303A7E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</w:rPr>
        <w:t>Making introductions at events</w:t>
      </w:r>
    </w:p>
    <w:p w14:paraId="63EA9310" w14:textId="77777777" w:rsidR="00045EF2" w:rsidRPr="00045EF2" w:rsidRDefault="00045EF2" w:rsidP="00045EF2">
      <w:pPr>
        <w:rPr>
          <w:rFonts w:asciiTheme="majorHAnsi" w:hAnsiTheme="majorHAnsi"/>
          <w:bCs/>
        </w:rPr>
      </w:pPr>
    </w:p>
    <w:p w14:paraId="29F76986" w14:textId="49D6A4CA" w:rsidR="00585B93" w:rsidRDefault="00045EF2" w:rsidP="00045EF2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 w:rsidRPr="00045EF2">
        <w:rPr>
          <w:rFonts w:asciiTheme="majorHAnsi" w:hAnsiTheme="majorHAnsi"/>
          <w:bCs/>
        </w:rPr>
        <w:t xml:space="preserve">Coordinate the efforts of </w:t>
      </w:r>
      <w:r w:rsidR="00DD5CED">
        <w:rPr>
          <w:rFonts w:asciiTheme="majorHAnsi" w:hAnsiTheme="majorHAnsi"/>
          <w:bCs/>
        </w:rPr>
        <w:t>SV2 Partners who are providing Beyond-the-D</w:t>
      </w:r>
      <w:r w:rsidRPr="00045EF2">
        <w:rPr>
          <w:rFonts w:asciiTheme="majorHAnsi" w:hAnsiTheme="majorHAnsi"/>
          <w:bCs/>
        </w:rPr>
        <w:t>ollars support to the Grantee</w:t>
      </w:r>
      <w:r w:rsidR="000861A5">
        <w:rPr>
          <w:rFonts w:asciiTheme="majorHAnsi" w:hAnsiTheme="majorHAnsi"/>
          <w:bCs/>
        </w:rPr>
        <w:t>:</w:t>
      </w:r>
    </w:p>
    <w:p w14:paraId="20DDB06E" w14:textId="7127AC72" w:rsidR="00F504DA" w:rsidRPr="000F6D0F" w:rsidRDefault="00303A7E" w:rsidP="00F504DA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 the summer of each</w:t>
      </w:r>
      <w:r w:rsidR="00F504DA" w:rsidRPr="000F6D0F">
        <w:rPr>
          <w:rFonts w:asciiTheme="majorHAnsi" w:hAnsiTheme="majorHAnsi"/>
          <w:bCs/>
        </w:rPr>
        <w:t xml:space="preserve"> year within the Grant period, work together with the Grantee and SV2 staff to identify and scope Beyond-the-Dollars projects for that year </w:t>
      </w:r>
      <w:r>
        <w:rPr>
          <w:rFonts w:asciiTheme="majorHAnsi" w:hAnsiTheme="majorHAnsi"/>
          <w:bCs/>
        </w:rPr>
        <w:t>(SV2’s fiscal year runs from July-June)</w:t>
      </w:r>
    </w:p>
    <w:p w14:paraId="0FC77F02" w14:textId="77777777" w:rsidR="00585B93" w:rsidRDefault="00585B93" w:rsidP="00585B93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Recruit Partners for projects and manage their efforts</w:t>
      </w:r>
    </w:p>
    <w:p w14:paraId="14E8A1D1" w14:textId="736031E3" w:rsidR="00585B93" w:rsidRDefault="00585B93" w:rsidP="00585B93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Track</w:t>
      </w:r>
      <w:r w:rsidR="001D0BCB">
        <w:rPr>
          <w:rFonts w:asciiTheme="majorHAnsi" w:hAnsiTheme="majorHAnsi"/>
          <w:bCs/>
        </w:rPr>
        <w:t xml:space="preserve"> hours that Partners spend on projects</w:t>
      </w:r>
      <w:r w:rsidR="0093588E">
        <w:rPr>
          <w:rFonts w:asciiTheme="majorHAnsi" w:hAnsiTheme="majorHAnsi"/>
          <w:bCs/>
        </w:rPr>
        <w:t xml:space="preserve"> (to be included in SV2’s impact measurement)</w:t>
      </w:r>
      <w:r w:rsidR="001D0BCB">
        <w:rPr>
          <w:rFonts w:asciiTheme="majorHAnsi" w:hAnsiTheme="majorHAnsi"/>
          <w:bCs/>
        </w:rPr>
        <w:t xml:space="preserve"> </w:t>
      </w:r>
    </w:p>
    <w:p w14:paraId="09E3D2B7" w14:textId="77777777" w:rsidR="00585B93" w:rsidRDefault="00585B93" w:rsidP="00585B93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Facilitate</w:t>
      </w:r>
      <w:r w:rsidR="001D0BCB">
        <w:rPr>
          <w:rFonts w:asciiTheme="majorHAnsi" w:hAnsiTheme="majorHAnsi"/>
          <w:bCs/>
        </w:rPr>
        <w:t xml:space="preserve"> appropriate thanks and acknowledgement</w:t>
      </w:r>
      <w:r>
        <w:rPr>
          <w:rFonts w:asciiTheme="majorHAnsi" w:hAnsiTheme="majorHAnsi"/>
          <w:bCs/>
        </w:rPr>
        <w:t xml:space="preserve"> to involved Partners</w:t>
      </w:r>
    </w:p>
    <w:p w14:paraId="6F4265D6" w14:textId="77777777" w:rsidR="000F6D0F" w:rsidRDefault="001D0BCB" w:rsidP="000F6D0F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</w:t>
      </w:r>
      <w:r w:rsidR="00045EF2" w:rsidRPr="00045EF2">
        <w:rPr>
          <w:rFonts w:asciiTheme="majorHAnsi" w:hAnsiTheme="majorHAnsi"/>
          <w:bCs/>
        </w:rPr>
        <w:t>aintain open communication wit</w:t>
      </w:r>
      <w:r w:rsidR="00DD5CED">
        <w:rPr>
          <w:rFonts w:asciiTheme="majorHAnsi" w:hAnsiTheme="majorHAnsi"/>
          <w:bCs/>
        </w:rPr>
        <w:t>h the Grantee about how well their</w:t>
      </w:r>
      <w:r w:rsidR="00045EF2" w:rsidRPr="00045EF2">
        <w:rPr>
          <w:rFonts w:asciiTheme="majorHAnsi" w:hAnsiTheme="majorHAnsi"/>
          <w:bCs/>
        </w:rPr>
        <w:t xml:space="preserve"> needs are being met and troubleshoot any challenges</w:t>
      </w:r>
    </w:p>
    <w:p w14:paraId="30990556" w14:textId="77777777" w:rsidR="009E3E8A" w:rsidRPr="009E3E8A" w:rsidRDefault="009E3E8A" w:rsidP="009E3E8A">
      <w:pPr>
        <w:rPr>
          <w:rFonts w:asciiTheme="majorHAnsi" w:hAnsiTheme="majorHAnsi"/>
          <w:bCs/>
        </w:rPr>
      </w:pPr>
    </w:p>
    <w:p w14:paraId="03C48B17" w14:textId="4A7CBB64" w:rsidR="009E3E8A" w:rsidRDefault="00585B93" w:rsidP="009E3E8A">
      <w:pPr>
        <w:pStyle w:val="ListParagraph"/>
        <w:numPr>
          <w:ilvl w:val="0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Represent </w:t>
      </w:r>
      <w:r w:rsidR="009E3E8A" w:rsidRPr="00045EF2">
        <w:rPr>
          <w:rFonts w:asciiTheme="majorHAnsi" w:hAnsiTheme="majorHAnsi"/>
          <w:bCs/>
        </w:rPr>
        <w:t>the progress of the Grantee annually to SV2</w:t>
      </w:r>
      <w:r>
        <w:rPr>
          <w:rFonts w:asciiTheme="majorHAnsi" w:hAnsiTheme="majorHAnsi"/>
          <w:bCs/>
        </w:rPr>
        <w:t xml:space="preserve"> Board and staff</w:t>
      </w:r>
      <w:r w:rsidR="000861A5">
        <w:rPr>
          <w:rFonts w:asciiTheme="majorHAnsi" w:hAnsiTheme="majorHAnsi"/>
          <w:bCs/>
        </w:rPr>
        <w:t>:</w:t>
      </w:r>
    </w:p>
    <w:p w14:paraId="727D0769" w14:textId="571371F3" w:rsidR="00585B93" w:rsidRDefault="00585B93" w:rsidP="00585B93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Write </w:t>
      </w:r>
      <w:r w:rsidR="00CB017F">
        <w:rPr>
          <w:rFonts w:asciiTheme="majorHAnsi" w:hAnsiTheme="majorHAnsi"/>
          <w:bCs/>
        </w:rPr>
        <w:t xml:space="preserve">brief </w:t>
      </w:r>
      <w:r>
        <w:rPr>
          <w:rFonts w:asciiTheme="majorHAnsi" w:hAnsiTheme="majorHAnsi"/>
          <w:bCs/>
        </w:rPr>
        <w:t>annual Lead Partner report in April</w:t>
      </w:r>
    </w:p>
    <w:p w14:paraId="707E77F9" w14:textId="611F8BB3" w:rsidR="00585B93" w:rsidRPr="006649B3" w:rsidRDefault="00585B93" w:rsidP="006649B3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Attend Grants and Impact </w:t>
      </w:r>
      <w:r w:rsidRPr="00045EF2">
        <w:rPr>
          <w:rFonts w:asciiTheme="majorHAnsi" w:hAnsiTheme="majorHAnsi"/>
          <w:bCs/>
        </w:rPr>
        <w:t>Investment Review Committee</w:t>
      </w:r>
      <w:r>
        <w:rPr>
          <w:rFonts w:asciiTheme="majorHAnsi" w:hAnsiTheme="majorHAnsi"/>
          <w:bCs/>
        </w:rPr>
        <w:t xml:space="preserve"> (GIIRC)</w:t>
      </w:r>
      <w:r w:rsidR="006649B3">
        <w:rPr>
          <w:rFonts w:asciiTheme="majorHAnsi" w:hAnsiTheme="majorHAnsi"/>
          <w:bCs/>
        </w:rPr>
        <w:t xml:space="preserve"> </w:t>
      </w:r>
      <w:r w:rsidR="00C90249">
        <w:rPr>
          <w:rFonts w:asciiTheme="majorHAnsi" w:hAnsiTheme="majorHAnsi"/>
          <w:bCs/>
        </w:rPr>
        <w:t xml:space="preserve">Portfolio Review Meeting </w:t>
      </w:r>
      <w:r w:rsidR="006649B3">
        <w:rPr>
          <w:rFonts w:asciiTheme="majorHAnsi" w:hAnsiTheme="majorHAnsi"/>
          <w:bCs/>
        </w:rPr>
        <w:t xml:space="preserve">in June to verbally report on Grantee’s progress. The GIIRC is the </w:t>
      </w:r>
      <w:r w:rsidRPr="00045EF2">
        <w:rPr>
          <w:rFonts w:asciiTheme="majorHAnsi" w:hAnsiTheme="majorHAnsi"/>
          <w:bCs/>
        </w:rPr>
        <w:t xml:space="preserve">Board committee </w:t>
      </w:r>
      <w:r w:rsidR="006649B3">
        <w:rPr>
          <w:rFonts w:asciiTheme="majorHAnsi" w:hAnsiTheme="majorHAnsi"/>
          <w:bCs/>
        </w:rPr>
        <w:t>which</w:t>
      </w:r>
      <w:r w:rsidRPr="00045EF2">
        <w:rPr>
          <w:rFonts w:asciiTheme="majorHAnsi" w:hAnsiTheme="majorHAnsi"/>
          <w:bCs/>
        </w:rPr>
        <w:t xml:space="preserve"> reviews all grants on an annual basis and makes the final recommendation for continued funding</w:t>
      </w:r>
      <w:r>
        <w:rPr>
          <w:rFonts w:asciiTheme="majorHAnsi" w:hAnsiTheme="majorHAnsi"/>
          <w:bCs/>
        </w:rPr>
        <w:t>.</w:t>
      </w:r>
    </w:p>
    <w:p w14:paraId="7D7E78A3" w14:textId="38236A43" w:rsidR="00C90249" w:rsidRDefault="00585B93" w:rsidP="00C90249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 w:rsidRPr="00045EF2">
        <w:rPr>
          <w:rFonts w:asciiTheme="majorHAnsi" w:hAnsiTheme="majorHAnsi"/>
          <w:bCs/>
        </w:rPr>
        <w:t xml:space="preserve">Share regular updates </w:t>
      </w:r>
      <w:r w:rsidR="00C90249">
        <w:rPr>
          <w:rFonts w:asciiTheme="majorHAnsi" w:hAnsiTheme="majorHAnsi"/>
          <w:bCs/>
        </w:rPr>
        <w:t xml:space="preserve">on Grantee’s progress </w:t>
      </w:r>
      <w:r w:rsidRPr="00045EF2">
        <w:rPr>
          <w:rFonts w:asciiTheme="majorHAnsi" w:hAnsiTheme="majorHAnsi"/>
          <w:bCs/>
        </w:rPr>
        <w:t>with SV2 staff t</w:t>
      </w:r>
      <w:r>
        <w:rPr>
          <w:rFonts w:asciiTheme="majorHAnsi" w:hAnsiTheme="majorHAnsi"/>
          <w:bCs/>
        </w:rPr>
        <w:t>hroughout the year</w:t>
      </w:r>
    </w:p>
    <w:p w14:paraId="66A06BDA" w14:textId="2C51D16C" w:rsidR="00045EF2" w:rsidRPr="00762955" w:rsidRDefault="00C90249" w:rsidP="00045EF2">
      <w:pPr>
        <w:pStyle w:val="ListParagraph"/>
        <w:numPr>
          <w:ilvl w:val="1"/>
          <w:numId w:val="13"/>
        </w:numPr>
        <w:rPr>
          <w:rFonts w:asciiTheme="majorHAnsi" w:hAnsiTheme="majorHAnsi"/>
          <w:bCs/>
        </w:rPr>
      </w:pPr>
      <w:r w:rsidRPr="00C90249">
        <w:rPr>
          <w:rFonts w:asciiTheme="majorHAnsi" w:hAnsiTheme="majorHAnsi"/>
        </w:rPr>
        <w:t>Occasionally review organization’s financials and other developments to monitor and flag for SV2 staff possible threats to sustainability</w:t>
      </w:r>
    </w:p>
    <w:p w14:paraId="48044FBF" w14:textId="77777777" w:rsidR="00045EF2" w:rsidRPr="00045EF2" w:rsidRDefault="00045EF2" w:rsidP="00045EF2">
      <w:pPr>
        <w:rPr>
          <w:rFonts w:asciiTheme="majorHAnsi" w:hAnsiTheme="majorHAnsi"/>
          <w:bCs/>
        </w:rPr>
      </w:pPr>
    </w:p>
    <w:p w14:paraId="4DE826B0" w14:textId="77777777" w:rsidR="00045EF2" w:rsidRPr="00045EF2" w:rsidRDefault="00045EF2" w:rsidP="00045EF2">
      <w:pPr>
        <w:rPr>
          <w:rFonts w:asciiTheme="majorHAnsi" w:hAnsiTheme="majorHAnsi"/>
        </w:rPr>
      </w:pPr>
    </w:p>
    <w:p w14:paraId="5E210813" w14:textId="77777777" w:rsidR="00045EF2" w:rsidRPr="00045EF2" w:rsidRDefault="00045EF2" w:rsidP="00045EF2">
      <w:pPr>
        <w:rPr>
          <w:rFonts w:asciiTheme="majorHAnsi" w:hAnsiTheme="majorHAnsi"/>
          <w:b/>
        </w:rPr>
      </w:pPr>
      <w:r w:rsidRPr="00045EF2">
        <w:rPr>
          <w:rFonts w:asciiTheme="majorHAnsi" w:hAnsiTheme="majorHAnsi"/>
          <w:b/>
        </w:rPr>
        <w:t>Time Commitment</w:t>
      </w:r>
    </w:p>
    <w:p w14:paraId="343FAE73" w14:textId="77777777" w:rsidR="00045EF2" w:rsidRPr="00045EF2" w:rsidRDefault="00045EF2" w:rsidP="00045EF2">
      <w:pPr>
        <w:rPr>
          <w:rFonts w:asciiTheme="majorHAnsi" w:hAnsiTheme="majorHAnsi"/>
        </w:rPr>
      </w:pPr>
    </w:p>
    <w:p w14:paraId="31B0A1C9" w14:textId="602038E4" w:rsidR="00400299" w:rsidRPr="00400299" w:rsidRDefault="00400299" w:rsidP="00400299">
      <w:pPr>
        <w:pStyle w:val="ListParagraph"/>
        <w:numPr>
          <w:ilvl w:val="0"/>
          <w:numId w:val="14"/>
        </w:numPr>
        <w:rPr>
          <w:rFonts w:asciiTheme="majorHAnsi" w:hAnsiTheme="majorHAnsi"/>
          <w:bCs/>
        </w:rPr>
      </w:pPr>
      <w:r w:rsidRPr="00400299">
        <w:rPr>
          <w:rFonts w:asciiTheme="majorHAnsi" w:hAnsiTheme="majorHAnsi"/>
          <w:bCs/>
        </w:rPr>
        <w:t xml:space="preserve">Ideally Lead Partners serve for the entire grant period (three years for Classic Grantees; one year for Lightning Grantees) </w:t>
      </w:r>
    </w:p>
    <w:p w14:paraId="0A143AB0" w14:textId="011F45D4" w:rsidR="00045EF2" w:rsidRPr="00400299" w:rsidRDefault="00400299" w:rsidP="00400299">
      <w:pPr>
        <w:pStyle w:val="ListParagraph"/>
        <w:numPr>
          <w:ilvl w:val="0"/>
          <w:numId w:val="14"/>
        </w:numPr>
        <w:rPr>
          <w:rFonts w:asciiTheme="majorHAnsi" w:hAnsiTheme="majorHAnsi"/>
          <w:bCs/>
        </w:rPr>
      </w:pPr>
      <w:r w:rsidRPr="00400299">
        <w:rPr>
          <w:rFonts w:asciiTheme="majorHAnsi" w:hAnsiTheme="majorHAnsi"/>
          <w:bCs/>
        </w:rPr>
        <w:t xml:space="preserve">After the </w:t>
      </w:r>
      <w:r w:rsidR="00045EF2" w:rsidRPr="00400299">
        <w:rPr>
          <w:rFonts w:asciiTheme="majorHAnsi" w:hAnsiTheme="majorHAnsi"/>
          <w:bCs/>
        </w:rPr>
        <w:t>first half (18 months)</w:t>
      </w:r>
      <w:r w:rsidRPr="00400299">
        <w:rPr>
          <w:rFonts w:asciiTheme="majorHAnsi" w:hAnsiTheme="majorHAnsi"/>
          <w:bCs/>
        </w:rPr>
        <w:t xml:space="preserve"> of the three-year grant period, </w:t>
      </w:r>
      <w:r w:rsidR="00045EF2" w:rsidRPr="00400299">
        <w:rPr>
          <w:rFonts w:asciiTheme="majorHAnsi" w:hAnsiTheme="majorHAnsi"/>
          <w:bCs/>
        </w:rPr>
        <w:t xml:space="preserve">Lead Partners, Grantees and SV2 staff </w:t>
      </w:r>
      <w:r>
        <w:rPr>
          <w:rFonts w:asciiTheme="majorHAnsi" w:hAnsiTheme="majorHAnsi"/>
          <w:bCs/>
        </w:rPr>
        <w:t>will check in and decide to continue</w:t>
      </w:r>
      <w:r w:rsidR="00045EF2" w:rsidRPr="00400299">
        <w:rPr>
          <w:rFonts w:asciiTheme="majorHAnsi" w:hAnsiTheme="majorHAnsi"/>
          <w:bCs/>
        </w:rPr>
        <w:t xml:space="preserve"> the relationship or </w:t>
      </w:r>
      <w:r>
        <w:rPr>
          <w:rFonts w:asciiTheme="majorHAnsi" w:hAnsiTheme="majorHAnsi"/>
          <w:bCs/>
        </w:rPr>
        <w:t>to rotate</w:t>
      </w:r>
      <w:r w:rsidR="00045EF2" w:rsidRPr="00400299">
        <w:rPr>
          <w:rFonts w:asciiTheme="majorHAnsi" w:hAnsiTheme="majorHAnsi"/>
          <w:bCs/>
        </w:rPr>
        <w:t xml:space="preserve"> other SV2 Partners into the role</w:t>
      </w:r>
    </w:p>
    <w:p w14:paraId="2A3574D8" w14:textId="3134AB6F" w:rsidR="00400299" w:rsidRPr="00400299" w:rsidRDefault="00400299" w:rsidP="00400299">
      <w:pPr>
        <w:pStyle w:val="ListParagraph"/>
        <w:numPr>
          <w:ilvl w:val="0"/>
          <w:numId w:val="14"/>
        </w:numPr>
        <w:rPr>
          <w:rFonts w:asciiTheme="majorHAnsi" w:hAnsiTheme="majorHAnsi"/>
          <w:bCs/>
        </w:rPr>
      </w:pPr>
      <w:r w:rsidRPr="00400299">
        <w:rPr>
          <w:rFonts w:asciiTheme="majorHAnsi" w:hAnsiTheme="majorHAnsi"/>
          <w:bCs/>
        </w:rPr>
        <w:t xml:space="preserve">More </w:t>
      </w:r>
      <w:r w:rsidR="00045EF2" w:rsidRPr="00400299">
        <w:rPr>
          <w:rFonts w:asciiTheme="majorHAnsi" w:hAnsiTheme="majorHAnsi"/>
          <w:bCs/>
        </w:rPr>
        <w:t xml:space="preserve">time </w:t>
      </w:r>
      <w:r w:rsidRPr="00400299">
        <w:rPr>
          <w:rFonts w:asciiTheme="majorHAnsi" w:hAnsiTheme="majorHAnsi"/>
          <w:bCs/>
        </w:rPr>
        <w:t xml:space="preserve">is required </w:t>
      </w:r>
      <w:r>
        <w:rPr>
          <w:rFonts w:asciiTheme="majorHAnsi" w:hAnsiTheme="majorHAnsi"/>
          <w:bCs/>
        </w:rPr>
        <w:t>at the beginning of the grant period</w:t>
      </w:r>
      <w:r w:rsidR="00045EF2" w:rsidRPr="00400299">
        <w:rPr>
          <w:rFonts w:asciiTheme="majorHAnsi" w:hAnsiTheme="majorHAnsi"/>
          <w:bCs/>
        </w:rPr>
        <w:t xml:space="preserve"> and </w:t>
      </w:r>
      <w:r>
        <w:rPr>
          <w:rFonts w:asciiTheme="majorHAnsi" w:hAnsiTheme="majorHAnsi"/>
          <w:bCs/>
        </w:rPr>
        <w:t>at</w:t>
      </w:r>
      <w:r w:rsidR="00045EF2" w:rsidRPr="00400299">
        <w:rPr>
          <w:rFonts w:asciiTheme="majorHAnsi" w:hAnsiTheme="majorHAnsi"/>
          <w:bCs/>
        </w:rPr>
        <w:t xml:space="preserve"> each an</w:t>
      </w:r>
      <w:r w:rsidR="00273CE4" w:rsidRPr="00400299">
        <w:rPr>
          <w:rFonts w:asciiTheme="majorHAnsi" w:hAnsiTheme="majorHAnsi"/>
          <w:bCs/>
        </w:rPr>
        <w:t>nual Investment Review period</w:t>
      </w:r>
    </w:p>
    <w:p w14:paraId="5014241B" w14:textId="77777777" w:rsidR="00400299" w:rsidRPr="00400299" w:rsidRDefault="00400299" w:rsidP="00400299">
      <w:pPr>
        <w:pStyle w:val="ListParagraph"/>
        <w:numPr>
          <w:ilvl w:val="0"/>
          <w:numId w:val="14"/>
        </w:numPr>
        <w:rPr>
          <w:rFonts w:asciiTheme="majorHAnsi" w:hAnsiTheme="majorHAnsi"/>
          <w:bCs/>
        </w:rPr>
      </w:pPr>
      <w:r w:rsidRPr="00400299">
        <w:rPr>
          <w:rFonts w:asciiTheme="majorHAnsi" w:hAnsiTheme="majorHAnsi"/>
          <w:bCs/>
        </w:rPr>
        <w:t>Aside from these phases,</w:t>
      </w:r>
      <w:r w:rsidR="00045EF2" w:rsidRPr="00400299">
        <w:rPr>
          <w:rFonts w:asciiTheme="majorHAnsi" w:hAnsiTheme="majorHAnsi"/>
          <w:bCs/>
        </w:rPr>
        <w:t xml:space="preserve"> a minimum of two face-to-face meetings per year with the Grantee, augmented by regular </w:t>
      </w:r>
      <w:r w:rsidRPr="00400299">
        <w:rPr>
          <w:rFonts w:asciiTheme="majorHAnsi" w:hAnsiTheme="majorHAnsi"/>
          <w:bCs/>
        </w:rPr>
        <w:t xml:space="preserve">phone check-ins </w:t>
      </w:r>
      <w:r w:rsidR="00045EF2" w:rsidRPr="00400299">
        <w:rPr>
          <w:rFonts w:asciiTheme="majorHAnsi" w:hAnsiTheme="majorHAnsi"/>
          <w:bCs/>
        </w:rPr>
        <w:t>on a schedule that is determined together with the Grantee (</w:t>
      </w:r>
      <w:r w:rsidRPr="00400299">
        <w:rPr>
          <w:rFonts w:asciiTheme="majorHAnsi" w:hAnsiTheme="majorHAnsi"/>
          <w:bCs/>
        </w:rPr>
        <w:t>often every six or eight weeks)</w:t>
      </w:r>
    </w:p>
    <w:p w14:paraId="3E147B4C" w14:textId="2FB9FA9F" w:rsidR="00045EF2" w:rsidRPr="00400299" w:rsidRDefault="00045EF2" w:rsidP="00400299">
      <w:pPr>
        <w:pStyle w:val="ListParagraph"/>
        <w:numPr>
          <w:ilvl w:val="0"/>
          <w:numId w:val="14"/>
        </w:numPr>
        <w:rPr>
          <w:rFonts w:asciiTheme="majorHAnsi" w:hAnsiTheme="majorHAnsi"/>
          <w:bCs/>
        </w:rPr>
      </w:pPr>
      <w:r w:rsidRPr="00400299">
        <w:rPr>
          <w:rFonts w:asciiTheme="majorHAnsi" w:hAnsiTheme="majorHAnsi"/>
          <w:bCs/>
        </w:rPr>
        <w:t>On average, SV2 Lead Partners will have a time commitment of 1-4 hours per month in carrying out the responsibilities and communication</w:t>
      </w:r>
      <w:r w:rsidR="00CA3C82" w:rsidRPr="00400299">
        <w:rPr>
          <w:rFonts w:asciiTheme="majorHAnsi" w:hAnsiTheme="majorHAnsi"/>
          <w:bCs/>
        </w:rPr>
        <w:t xml:space="preserve"> tasks of this role. </w:t>
      </w:r>
    </w:p>
    <w:p w14:paraId="32CAED6C" w14:textId="77777777" w:rsidR="00045EF2" w:rsidRPr="00045EF2" w:rsidRDefault="00045EF2" w:rsidP="00045EF2">
      <w:pPr>
        <w:rPr>
          <w:rFonts w:asciiTheme="majorHAnsi" w:hAnsiTheme="majorHAnsi"/>
        </w:rPr>
      </w:pPr>
    </w:p>
    <w:p w14:paraId="2E0327C5" w14:textId="77777777" w:rsidR="00045EF2" w:rsidRPr="00045EF2" w:rsidRDefault="00045EF2" w:rsidP="00045EF2">
      <w:pPr>
        <w:rPr>
          <w:rFonts w:asciiTheme="majorHAnsi" w:hAnsiTheme="majorHAnsi"/>
          <w:b/>
        </w:rPr>
      </w:pPr>
      <w:r w:rsidRPr="00045EF2">
        <w:rPr>
          <w:rFonts w:asciiTheme="majorHAnsi" w:hAnsiTheme="majorHAnsi"/>
          <w:b/>
        </w:rPr>
        <w:t>Helpful Skills/Experiences</w:t>
      </w:r>
    </w:p>
    <w:p w14:paraId="4A197ABF" w14:textId="77777777" w:rsidR="00045EF2" w:rsidRPr="00045EF2" w:rsidRDefault="00045EF2" w:rsidP="00045EF2">
      <w:pPr>
        <w:rPr>
          <w:rFonts w:asciiTheme="majorHAnsi" w:hAnsiTheme="majorHAnsi"/>
        </w:rPr>
      </w:pPr>
    </w:p>
    <w:p w14:paraId="232C8D62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Strong interpersonal skills; ability to build solid working relationships and open lines of communication</w:t>
      </w:r>
    </w:p>
    <w:p w14:paraId="7F38B540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Coaching and/or team building experience</w:t>
      </w:r>
    </w:p>
    <w:p w14:paraId="3D8E517C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Experience identifying and executing on strategic priorities</w:t>
      </w:r>
    </w:p>
    <w:p w14:paraId="17D8D7FE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Experience managing and/or growing a for-profit or nonprofit organization</w:t>
      </w:r>
    </w:p>
    <w:p w14:paraId="74E2EBDC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Experience on a board of directors</w:t>
      </w:r>
    </w:p>
    <w:p w14:paraId="407F46CA" w14:textId="77777777" w:rsidR="00045EF2" w:rsidRPr="00045EF2" w:rsidRDefault="00045EF2" w:rsidP="00045EF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Ability to motivate and manage peer volunteers</w:t>
      </w:r>
    </w:p>
    <w:p w14:paraId="6DCB9490" w14:textId="77777777" w:rsidR="00045EF2" w:rsidRPr="00045EF2" w:rsidRDefault="00045EF2" w:rsidP="00045EF2">
      <w:pPr>
        <w:rPr>
          <w:rFonts w:asciiTheme="majorHAnsi" w:hAnsiTheme="majorHAnsi"/>
        </w:rPr>
      </w:pPr>
    </w:p>
    <w:p w14:paraId="6AFC33B9" w14:textId="77777777" w:rsidR="009A76F5" w:rsidRDefault="009A76F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360F48B5" w14:textId="0D860F0E" w:rsidR="00045EF2" w:rsidRPr="00045EF2" w:rsidRDefault="00045EF2" w:rsidP="00045EF2">
      <w:pPr>
        <w:rPr>
          <w:rFonts w:asciiTheme="majorHAnsi" w:hAnsiTheme="majorHAnsi"/>
          <w:b/>
        </w:rPr>
      </w:pPr>
      <w:bookmarkStart w:id="0" w:name="_GoBack"/>
      <w:bookmarkEnd w:id="0"/>
      <w:r w:rsidRPr="00045EF2">
        <w:rPr>
          <w:rFonts w:asciiTheme="majorHAnsi" w:hAnsiTheme="majorHAnsi"/>
          <w:b/>
        </w:rPr>
        <w:lastRenderedPageBreak/>
        <w:t>Signs That This May Be the Role for YOU</w:t>
      </w:r>
    </w:p>
    <w:p w14:paraId="03650CEB" w14:textId="77777777" w:rsidR="00045EF2" w:rsidRPr="00045EF2" w:rsidRDefault="00045EF2" w:rsidP="00045EF2">
      <w:pPr>
        <w:rPr>
          <w:rFonts w:asciiTheme="majorHAnsi" w:hAnsiTheme="majorHAnsi"/>
          <w:b/>
        </w:rPr>
      </w:pPr>
    </w:p>
    <w:p w14:paraId="56AD3995" w14:textId="77777777" w:rsidR="00045EF2" w:rsidRPr="00045EF2" w:rsidRDefault="00045EF2" w:rsidP="00045EF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You are fascinated by the work that the Grantee is doing</w:t>
      </w:r>
    </w:p>
    <w:p w14:paraId="4E86FB65" w14:textId="77777777" w:rsidR="00045EF2" w:rsidRPr="00045EF2" w:rsidRDefault="00045EF2" w:rsidP="00045EF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You are excited about the prospect of working with the Grantee’s key personnel (e.g. the Executive Director)</w:t>
      </w:r>
    </w:p>
    <w:p w14:paraId="2B672B9B" w14:textId="77777777" w:rsidR="00045EF2" w:rsidRPr="00045EF2" w:rsidRDefault="00045EF2" w:rsidP="00045EF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045EF2">
        <w:rPr>
          <w:rFonts w:asciiTheme="majorHAnsi" w:hAnsiTheme="majorHAnsi"/>
        </w:rPr>
        <w:t>You are prepared to work in a supportive, shoulder-to-shoulder way in service of the Grantee and the objectives of the SV2 grant</w:t>
      </w:r>
    </w:p>
    <w:p w14:paraId="2A4C2548" w14:textId="7A109F9F" w:rsidR="0092713E" w:rsidRPr="00045EF2" w:rsidRDefault="0092713E" w:rsidP="00400299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0E5BBDE4" w14:textId="5FD3F72A" w:rsidR="00A21FA0" w:rsidRDefault="00A21FA0" w:rsidP="006378C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1AB7273" w14:textId="2F67F4DE" w:rsidR="006378CC" w:rsidRPr="00B04D5D" w:rsidRDefault="00B04D5D" w:rsidP="006378C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Timeline</w:t>
      </w:r>
      <w:r w:rsidR="006378CC" w:rsidRPr="00B04D5D">
        <w:rPr>
          <w:rFonts w:asciiTheme="majorHAnsi" w:hAnsiTheme="majorHAnsi" w:cs="Calibri"/>
          <w:b/>
        </w:rPr>
        <w:t xml:space="preserve"> of Key Steps in Lead Partner Role</w:t>
      </w:r>
    </w:p>
    <w:p w14:paraId="3F1A1263" w14:textId="23C826E5" w:rsidR="00713058" w:rsidRDefault="00713058" w:rsidP="00713058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8118"/>
      </w:tblGrid>
      <w:tr w:rsidR="00713058" w14:paraId="6863E21D" w14:textId="77777777" w:rsidTr="00E475E0">
        <w:tc>
          <w:tcPr>
            <w:tcW w:w="2178" w:type="dxa"/>
          </w:tcPr>
          <w:p w14:paraId="22D9D290" w14:textId="6D94E6C4" w:rsidR="00713058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At end of Grant Round</w:t>
            </w:r>
          </w:p>
        </w:tc>
        <w:tc>
          <w:tcPr>
            <w:tcW w:w="8118" w:type="dxa"/>
          </w:tcPr>
          <w:p w14:paraId="196F92EA" w14:textId="0113BF0C" w:rsidR="00713058" w:rsidRDefault="00E475E0" w:rsidP="00E475E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All</w:t>
            </w:r>
            <w:r w:rsidR="00713058">
              <w:rPr>
                <w:rFonts w:asciiTheme="majorHAnsi" w:hAnsiTheme="majorHAnsi" w:cs="Calibri"/>
              </w:rPr>
              <w:t xml:space="preserve"> Partners </w:t>
            </w:r>
            <w:r>
              <w:rPr>
                <w:rFonts w:asciiTheme="majorHAnsi" w:hAnsiTheme="majorHAnsi" w:cs="Calibri"/>
              </w:rPr>
              <w:t xml:space="preserve">interested in Lead Partner role </w:t>
            </w:r>
            <w:r w:rsidR="00713058">
              <w:rPr>
                <w:rFonts w:asciiTheme="majorHAnsi" w:hAnsiTheme="majorHAnsi" w:cs="Calibri"/>
              </w:rPr>
              <w:t>communicate their interest to SV2 staff</w:t>
            </w:r>
          </w:p>
        </w:tc>
      </w:tr>
      <w:tr w:rsidR="00713058" w14:paraId="39BF3926" w14:textId="77777777" w:rsidTr="00E475E0">
        <w:tc>
          <w:tcPr>
            <w:tcW w:w="2178" w:type="dxa"/>
          </w:tcPr>
          <w:p w14:paraId="5AE65AD6" w14:textId="388E8893" w:rsidR="00713058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Within first 6 weeks of grant period</w:t>
            </w:r>
          </w:p>
        </w:tc>
        <w:tc>
          <w:tcPr>
            <w:tcW w:w="8118" w:type="dxa"/>
          </w:tcPr>
          <w:p w14:paraId="52379796" w14:textId="1E6C9C0B" w:rsidR="00713058" w:rsidRDefault="00713058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SV2 staff facilitates brief phone interviews for each interested Partner with Grantee</w:t>
            </w:r>
          </w:p>
        </w:tc>
      </w:tr>
      <w:tr w:rsidR="00713058" w14:paraId="02FF9AD4" w14:textId="77777777" w:rsidTr="00E475E0">
        <w:tc>
          <w:tcPr>
            <w:tcW w:w="2178" w:type="dxa"/>
          </w:tcPr>
          <w:p w14:paraId="7800309B" w14:textId="3D75ECD6" w:rsidR="00713058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Within first 6 weeks of grant period</w:t>
            </w:r>
          </w:p>
        </w:tc>
        <w:tc>
          <w:tcPr>
            <w:tcW w:w="8118" w:type="dxa"/>
          </w:tcPr>
          <w:p w14:paraId="3A55A74A" w14:textId="4E3ACEF8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Grantee selects two Partners they feel are the best fit for the role</w:t>
            </w:r>
          </w:p>
        </w:tc>
      </w:tr>
      <w:tr w:rsidR="00713058" w14:paraId="74BB22C8" w14:textId="77777777" w:rsidTr="00E475E0">
        <w:tc>
          <w:tcPr>
            <w:tcW w:w="2178" w:type="dxa"/>
          </w:tcPr>
          <w:p w14:paraId="22E35B6F" w14:textId="700B9A64" w:rsidR="00713058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Within first 6 weeks of grant period</w:t>
            </w:r>
          </w:p>
        </w:tc>
        <w:tc>
          <w:tcPr>
            <w:tcW w:w="8118" w:type="dxa"/>
          </w:tcPr>
          <w:p w14:paraId="07376F72" w14:textId="5D908090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Lead Partners, Grantee and SV2 staff scope Beyond-the-Dollars projects, create document with first year’s projects identified and scoped</w:t>
            </w:r>
          </w:p>
        </w:tc>
      </w:tr>
      <w:tr w:rsidR="00713058" w14:paraId="27FD7973" w14:textId="77777777" w:rsidTr="00E475E0">
        <w:tc>
          <w:tcPr>
            <w:tcW w:w="2178" w:type="dxa"/>
          </w:tcPr>
          <w:p w14:paraId="4A323F9A" w14:textId="6727EB00" w:rsidR="00713058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Throughout year</w:t>
            </w:r>
          </w:p>
        </w:tc>
        <w:tc>
          <w:tcPr>
            <w:tcW w:w="8118" w:type="dxa"/>
          </w:tcPr>
          <w:p w14:paraId="04BED4FC" w14:textId="2186AA79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Lead Partners work to recruit and manage BT$ projects</w:t>
            </w:r>
          </w:p>
        </w:tc>
      </w:tr>
      <w:tr w:rsidR="00AA073F" w14:paraId="7D1869B1" w14:textId="77777777" w:rsidTr="00E475E0">
        <w:tc>
          <w:tcPr>
            <w:tcW w:w="2178" w:type="dxa"/>
          </w:tcPr>
          <w:p w14:paraId="21E9C436" w14:textId="47461888" w:rsidR="00AA073F" w:rsidRDefault="00E475E0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Throughout year</w:t>
            </w:r>
          </w:p>
        </w:tc>
        <w:tc>
          <w:tcPr>
            <w:tcW w:w="8118" w:type="dxa"/>
          </w:tcPr>
          <w:p w14:paraId="201913C7" w14:textId="174EDB77" w:rsidR="00AA073F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Lead Partners </w:t>
            </w:r>
            <w:r w:rsidR="00E475E0">
              <w:rPr>
                <w:rFonts w:asciiTheme="majorHAnsi" w:hAnsiTheme="majorHAnsi" w:cs="Calibri"/>
              </w:rPr>
              <w:t xml:space="preserve">serve as liaison between Grantee and Partners by facilitating a range of opportunities (e.g. site visits, </w:t>
            </w:r>
            <w:proofErr w:type="spellStart"/>
            <w:r w:rsidR="00E475E0">
              <w:rPr>
                <w:rFonts w:asciiTheme="majorHAnsi" w:hAnsiTheme="majorHAnsi" w:cs="Calibri"/>
              </w:rPr>
              <w:t>eNews</w:t>
            </w:r>
            <w:proofErr w:type="spellEnd"/>
            <w:r w:rsidR="00E475E0">
              <w:rPr>
                <w:rFonts w:asciiTheme="majorHAnsi" w:hAnsiTheme="majorHAnsi" w:cs="Calibri"/>
              </w:rPr>
              <w:t xml:space="preserve"> articles, networking introductions, etc.)</w:t>
            </w:r>
          </w:p>
        </w:tc>
      </w:tr>
      <w:tr w:rsidR="00713058" w14:paraId="0EECBE76" w14:textId="77777777" w:rsidTr="00E475E0">
        <w:tc>
          <w:tcPr>
            <w:tcW w:w="2178" w:type="dxa"/>
          </w:tcPr>
          <w:p w14:paraId="42290991" w14:textId="40FBBAD6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April-June</w:t>
            </w:r>
            <w:r w:rsidR="00A97569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8118" w:type="dxa"/>
          </w:tcPr>
          <w:p w14:paraId="3B60E2E2" w14:textId="143B8261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Lead Partners submit Lead Partner report (April) and attend GIIRC meeting to report on Grantee’s progress (June)</w:t>
            </w:r>
            <w:r w:rsidR="00A97569">
              <w:rPr>
                <w:rFonts w:asciiTheme="majorHAnsi" w:hAnsiTheme="majorHAnsi" w:cs="Calibri"/>
              </w:rPr>
              <w:t>; repeated in second and third years of grant period</w:t>
            </w:r>
          </w:p>
        </w:tc>
      </w:tr>
      <w:tr w:rsidR="00713058" w14:paraId="20F32897" w14:textId="77777777" w:rsidTr="00E475E0">
        <w:tc>
          <w:tcPr>
            <w:tcW w:w="2178" w:type="dxa"/>
          </w:tcPr>
          <w:p w14:paraId="2B537DD9" w14:textId="551A3DF9" w:rsidR="00713058" w:rsidRDefault="00B04D5D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July-August</w:t>
            </w:r>
          </w:p>
        </w:tc>
        <w:tc>
          <w:tcPr>
            <w:tcW w:w="8118" w:type="dxa"/>
          </w:tcPr>
          <w:p w14:paraId="3D0FC486" w14:textId="6AC8535E" w:rsidR="00713058" w:rsidRDefault="00AA073F" w:rsidP="006378C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Lead Partners, Grantee and SV2 staff scope Beyond-the-Dollars projects, create document with second </w:t>
            </w:r>
            <w:r w:rsidR="00B04D5D">
              <w:rPr>
                <w:rFonts w:asciiTheme="majorHAnsi" w:hAnsiTheme="majorHAnsi" w:cs="Calibri"/>
              </w:rPr>
              <w:t xml:space="preserve">(and then third) </w:t>
            </w:r>
            <w:r>
              <w:rPr>
                <w:rFonts w:asciiTheme="majorHAnsi" w:hAnsiTheme="majorHAnsi" w:cs="Calibri"/>
              </w:rPr>
              <w:t>year’s projects identified and scoped</w:t>
            </w:r>
          </w:p>
        </w:tc>
      </w:tr>
    </w:tbl>
    <w:p w14:paraId="7EC03102" w14:textId="5D8F1198" w:rsidR="00713058" w:rsidRDefault="00713058" w:rsidP="006378C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1275AA62" w14:textId="77777777" w:rsidR="006378CC" w:rsidRPr="00045EF2" w:rsidRDefault="006378CC" w:rsidP="006378CC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27BF331" w14:textId="77777777" w:rsidR="00BF7876" w:rsidRDefault="00BF7876" w:rsidP="00BF7876"/>
    <w:p w14:paraId="6D8DEB9A" w14:textId="6E924DA6" w:rsidR="00A21FA0" w:rsidRDefault="00A21FA0" w:rsidP="007F054F">
      <w:pPr>
        <w:rPr>
          <w:rFonts w:asciiTheme="majorHAnsi" w:hAnsiTheme="majorHAnsi" w:cs="Calibri"/>
        </w:rPr>
      </w:pPr>
    </w:p>
    <w:p w14:paraId="6AC88461" w14:textId="0D96CFF6" w:rsidR="006378CC" w:rsidRPr="00501C6D" w:rsidRDefault="006378CC" w:rsidP="006378CC">
      <w:pPr>
        <w:rPr>
          <w:rFonts w:asciiTheme="majorHAnsi" w:hAnsiTheme="majorHAnsi" w:cs="Calibri"/>
        </w:rPr>
      </w:pPr>
    </w:p>
    <w:sectPr w:rsidR="006378CC" w:rsidRPr="00501C6D" w:rsidSect="009A76F5">
      <w:headerReference w:type="default" r:id="rId9"/>
      <w:pgSz w:w="12240" w:h="15840"/>
      <w:pgMar w:top="1008" w:right="1008" w:bottom="1008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56CEE" w14:textId="77777777" w:rsidR="0052611A" w:rsidRDefault="0052611A" w:rsidP="007F054F">
      <w:r>
        <w:separator/>
      </w:r>
    </w:p>
  </w:endnote>
  <w:endnote w:type="continuationSeparator" w:id="0">
    <w:p w14:paraId="7ADD03AD" w14:textId="77777777" w:rsidR="0052611A" w:rsidRDefault="0052611A" w:rsidP="007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21A5D" w14:textId="77777777" w:rsidR="0052611A" w:rsidRDefault="0052611A" w:rsidP="007F054F">
      <w:r>
        <w:separator/>
      </w:r>
    </w:p>
  </w:footnote>
  <w:footnote w:type="continuationSeparator" w:id="0">
    <w:p w14:paraId="068EAAF4" w14:textId="77777777" w:rsidR="0052611A" w:rsidRDefault="0052611A" w:rsidP="007F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52B8" w14:textId="466BF24B" w:rsidR="00585B93" w:rsidRDefault="00585B93" w:rsidP="00E967F8">
    <w:pPr>
      <w:pStyle w:val="Header"/>
      <w:tabs>
        <w:tab w:val="clear" w:pos="4680"/>
        <w:tab w:val="center" w:pos="4320"/>
      </w:tabs>
    </w:pPr>
    <w:r w:rsidRPr="00A21FA0">
      <w:rPr>
        <w:rFonts w:ascii="Century Gothic" w:hAnsi="Century Gothic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1FCA9C50" wp14:editId="54CDFDEA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8011160" cy="190500"/>
          <wp:effectExtent l="0" t="0" r="8890" b="0"/>
          <wp:wrapTight wrapText="bothSides">
            <wp:wrapPolygon edited="0">
              <wp:start x="0" y="0"/>
              <wp:lineTo x="0" y="19440"/>
              <wp:lineTo x="21573" y="19440"/>
              <wp:lineTo x="21573" y="0"/>
              <wp:lineTo x="0" y="0"/>
            </wp:wrapPolygon>
          </wp:wrapTight>
          <wp:docPr id="5" name="Picture 4" descr="SV2_GraphicElement_Strip_1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V2_GraphicElement_Strip_1300p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16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</w:t>
    </w:r>
    <w:r w:rsidRPr="00A21FA0">
      <w:rPr>
        <w:rFonts w:ascii="Century Gothic" w:hAnsi="Century Gothic" w:cs="Calibri"/>
        <w:noProof/>
        <w:sz w:val="28"/>
      </w:rPr>
      <w:drawing>
        <wp:inline distT="0" distB="0" distL="0" distR="0" wp14:anchorId="7D7975AE" wp14:editId="76E3AAAA">
          <wp:extent cx="1082040" cy="653575"/>
          <wp:effectExtent l="0" t="0" r="0" b="0"/>
          <wp:docPr id="3" name="Picture 8" descr="SV2_3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SV2_300px.p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0" t="22223" r="15649" b="22008"/>
                  <a:stretch/>
                </pic:blipFill>
                <pic:spPr>
                  <a:xfrm>
                    <a:off x="0" y="0"/>
                    <a:ext cx="1089765" cy="65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B6B0F" w14:textId="77777777" w:rsidR="00585B93" w:rsidRDefault="00585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092"/>
    <w:multiLevelType w:val="hybridMultilevel"/>
    <w:tmpl w:val="893A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696"/>
    <w:multiLevelType w:val="hybridMultilevel"/>
    <w:tmpl w:val="8D14B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D5668"/>
    <w:multiLevelType w:val="hybridMultilevel"/>
    <w:tmpl w:val="2D3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708B"/>
    <w:multiLevelType w:val="hybridMultilevel"/>
    <w:tmpl w:val="B426CDC8"/>
    <w:lvl w:ilvl="0" w:tplc="5ED2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F2B60"/>
    <w:multiLevelType w:val="hybridMultilevel"/>
    <w:tmpl w:val="8BEAF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E7121"/>
    <w:multiLevelType w:val="hybridMultilevel"/>
    <w:tmpl w:val="B6904070"/>
    <w:lvl w:ilvl="0" w:tplc="5ED2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29DA"/>
    <w:multiLevelType w:val="hybridMultilevel"/>
    <w:tmpl w:val="774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3852"/>
    <w:multiLevelType w:val="hybridMultilevel"/>
    <w:tmpl w:val="D902D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D7E2353"/>
    <w:multiLevelType w:val="hybridMultilevel"/>
    <w:tmpl w:val="C85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41ED5"/>
    <w:multiLevelType w:val="hybridMultilevel"/>
    <w:tmpl w:val="193EE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382F36"/>
    <w:multiLevelType w:val="hybridMultilevel"/>
    <w:tmpl w:val="042A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C3556D"/>
    <w:multiLevelType w:val="hybridMultilevel"/>
    <w:tmpl w:val="E59AC1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2C7518"/>
    <w:multiLevelType w:val="hybridMultilevel"/>
    <w:tmpl w:val="E83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34681"/>
    <w:multiLevelType w:val="hybridMultilevel"/>
    <w:tmpl w:val="1DA2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87"/>
    <w:rsid w:val="00026B2B"/>
    <w:rsid w:val="000403F0"/>
    <w:rsid w:val="00045EF2"/>
    <w:rsid w:val="000861A5"/>
    <w:rsid w:val="000F6D0F"/>
    <w:rsid w:val="0010797E"/>
    <w:rsid w:val="001D0BCB"/>
    <w:rsid w:val="001E7821"/>
    <w:rsid w:val="00230387"/>
    <w:rsid w:val="00240FC9"/>
    <w:rsid w:val="00273CE4"/>
    <w:rsid w:val="002F2184"/>
    <w:rsid w:val="00303A7E"/>
    <w:rsid w:val="003A2C59"/>
    <w:rsid w:val="003F5BAA"/>
    <w:rsid w:val="00400299"/>
    <w:rsid w:val="0040635A"/>
    <w:rsid w:val="0046347E"/>
    <w:rsid w:val="00501C6D"/>
    <w:rsid w:val="0052611A"/>
    <w:rsid w:val="00585B93"/>
    <w:rsid w:val="00605AF2"/>
    <w:rsid w:val="0063596E"/>
    <w:rsid w:val="006378CC"/>
    <w:rsid w:val="006649B3"/>
    <w:rsid w:val="00713058"/>
    <w:rsid w:val="00762955"/>
    <w:rsid w:val="007C3511"/>
    <w:rsid w:val="007F054F"/>
    <w:rsid w:val="007F3B43"/>
    <w:rsid w:val="0092713E"/>
    <w:rsid w:val="0093588E"/>
    <w:rsid w:val="0094429D"/>
    <w:rsid w:val="009A76F5"/>
    <w:rsid w:val="009E3E8A"/>
    <w:rsid w:val="00A21FA0"/>
    <w:rsid w:val="00A97569"/>
    <w:rsid w:val="00AA073F"/>
    <w:rsid w:val="00AB5A35"/>
    <w:rsid w:val="00B04D5D"/>
    <w:rsid w:val="00B07785"/>
    <w:rsid w:val="00BC13F1"/>
    <w:rsid w:val="00BF7876"/>
    <w:rsid w:val="00C224B9"/>
    <w:rsid w:val="00C474A5"/>
    <w:rsid w:val="00C90249"/>
    <w:rsid w:val="00CA3C82"/>
    <w:rsid w:val="00CB017F"/>
    <w:rsid w:val="00D04EFC"/>
    <w:rsid w:val="00D83BAD"/>
    <w:rsid w:val="00DD5CED"/>
    <w:rsid w:val="00E475E0"/>
    <w:rsid w:val="00E967F8"/>
    <w:rsid w:val="00F172C9"/>
    <w:rsid w:val="00F17D8C"/>
    <w:rsid w:val="00F504DA"/>
    <w:rsid w:val="00FD77CF"/>
    <w:rsid w:val="00FE2187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19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A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4F"/>
  </w:style>
  <w:style w:type="paragraph" w:styleId="Footer">
    <w:name w:val="footer"/>
    <w:basedOn w:val="Normal"/>
    <w:link w:val="FooterChar"/>
    <w:uiPriority w:val="99"/>
    <w:unhideWhenUsed/>
    <w:rsid w:val="007F0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4F"/>
  </w:style>
  <w:style w:type="table" w:styleId="TableGrid">
    <w:name w:val="Table Grid"/>
    <w:basedOn w:val="TableNormal"/>
    <w:uiPriority w:val="59"/>
    <w:rsid w:val="0063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01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1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1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A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4F"/>
  </w:style>
  <w:style w:type="paragraph" w:styleId="Footer">
    <w:name w:val="footer"/>
    <w:basedOn w:val="Normal"/>
    <w:link w:val="FooterChar"/>
    <w:uiPriority w:val="99"/>
    <w:unhideWhenUsed/>
    <w:rsid w:val="007F0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4F"/>
  </w:style>
  <w:style w:type="table" w:styleId="TableGrid">
    <w:name w:val="Table Grid"/>
    <w:basedOn w:val="TableNormal"/>
    <w:uiPriority w:val="59"/>
    <w:rsid w:val="0063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01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1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1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1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8D73FB-226E-4314-945D-53ABB1DB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SV2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Ratay</dc:creator>
  <cp:lastModifiedBy>Jody Chang</cp:lastModifiedBy>
  <cp:revision>5</cp:revision>
  <cp:lastPrinted>2016-01-05T20:08:00Z</cp:lastPrinted>
  <dcterms:created xsi:type="dcterms:W3CDTF">2016-11-08T16:44:00Z</dcterms:created>
  <dcterms:modified xsi:type="dcterms:W3CDTF">2016-11-08T16:50:00Z</dcterms:modified>
</cp:coreProperties>
</file>